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tabs>
          <w:tab w:val="left" w:leader="none" w:pos="1692.8399658203127"/>
        </w:tabs>
        <w:spacing w:after="0" w:before="0" w:line="240" w:lineRule="auto"/>
        <w:ind w:left="0" w:firstLine="0"/>
        <w:rPr>
          <w:b w:val="0"/>
          <w:bCs w:val="0"/>
          <w:u w:val="none"/>
        </w:rPr>
      </w:pPr>
      <w:bookmarkStart w:colFirst="0" w:colLast="0" w:name="_oo1hjhsti7yg" w:id="0"/>
      <w:bookmarkEnd w:id="0"/>
      <w:r w:rsidDel="00000000" w:rsidR="00000000" w:rsidRPr="00000000">
        <w:rPr>
          <w:u w:val="none"/>
          <w:rtl w:val="0"/>
        </w:rPr>
        <w:t xml:space="preserve">TO:</w:t>
      </w:r>
      <w:r w:rsidDel="00000000" w:rsidR="00000000" w:rsidRPr="00000000">
        <w:rPr>
          <w:b w:val="0"/>
          <w:bCs w:val="0"/>
          <w:u w:val="none"/>
          <w:rtl w:val="0"/>
        </w:rPr>
        <w:tab/>
        <w:t xml:space="preserve">AMICCUS-C Membership</w:t>
      </w:r>
    </w:p>
    <w:p w:rsidR="00000000" w:rsidDel="00000000" w:rsidP="00000000" w:rsidRDefault="00000000" w:rsidRPr="00000000" w14:paraId="00000002">
      <w:pPr>
        <w:tabs>
          <w:tab w:val="left" w:leader="none" w:pos="1692.8399658203127"/>
        </w:tabs>
        <w:spacing w:after="0" w:lineRule="auto"/>
        <w:ind w:left="0" w:firstLine="0"/>
        <w:rPr/>
      </w:pPr>
      <w:r w:rsidDel="00000000" w:rsidR="00000000" w:rsidRPr="00000000">
        <w:rPr>
          <w:b w:val="1"/>
          <w:bCs w:val="1"/>
          <w:rtl w:val="0"/>
        </w:rPr>
        <w:t xml:space="preserve">FROM:</w:t>
        <w:tab/>
      </w:r>
      <w:r w:rsidDel="00000000" w:rsidR="00000000" w:rsidRPr="00000000">
        <w:rPr>
          <w:rtl w:val="0"/>
        </w:rPr>
        <w:t xml:space="preserve">AMICCUS-C Board of Directors</w:t>
      </w:r>
    </w:p>
    <w:p w:rsidR="00000000" w:rsidDel="00000000" w:rsidP="00000000" w:rsidRDefault="00000000" w:rsidRPr="00000000" w14:paraId="00000003">
      <w:pPr>
        <w:tabs>
          <w:tab w:val="left" w:leader="none" w:pos="1692.8399658203127"/>
        </w:tabs>
        <w:spacing w:after="0" w:lineRule="auto"/>
        <w:ind w:left="0" w:firstLine="0"/>
        <w:rPr/>
      </w:pPr>
      <w:r w:rsidDel="00000000" w:rsidR="00000000" w:rsidRPr="00000000">
        <w:rPr>
          <w:b w:val="1"/>
          <w:bCs w:val="1"/>
          <w:rtl w:val="0"/>
        </w:rPr>
        <w:t xml:space="preserve">DATE:</w:t>
        <w:tab/>
      </w:r>
      <w:r w:rsidDel="00000000" w:rsidR="00000000" w:rsidRPr="00000000">
        <w:rPr>
          <w:rtl w:val="0"/>
        </w:rPr>
        <w:t xml:space="preserve">May 14, 2026</w:t>
      </w:r>
    </w:p>
    <w:p w:rsidR="00000000" w:rsidDel="00000000" w:rsidP="00000000" w:rsidRDefault="00000000" w:rsidRPr="00000000" w14:paraId="00000004">
      <w:pPr>
        <w:tabs>
          <w:tab w:val="left" w:leader="none" w:pos="1692.8399658203127"/>
        </w:tabs>
        <w:ind w:left="0" w:firstLine="0"/>
        <w:rPr>
          <w:b w:val="1"/>
          <w:bCs w:val="1"/>
        </w:rPr>
      </w:pPr>
      <w:r w:rsidDel="00000000" w:rsidR="00000000" w:rsidRPr="00000000">
        <w:rPr>
          <w:b w:val="1"/>
          <w:bCs w:val="1"/>
          <w:rtl w:val="0"/>
        </w:rPr>
        <w:t xml:space="preserve">SUBJECT:</w:t>
      </w:r>
      <w:r w:rsidDel="00000000" w:rsidR="00000000" w:rsidRPr="00000000">
        <w:rPr>
          <w:rtl w:val="0"/>
        </w:rPr>
        <w:tab/>
      </w:r>
      <w:r w:rsidDel="00000000" w:rsidR="00000000" w:rsidRPr="00000000">
        <w:rPr>
          <w:b w:val="1"/>
          <w:bCs w:val="1"/>
          <w:rtl w:val="0"/>
        </w:rPr>
        <w:t xml:space="preserve">Housekeeping Update to Bylaws: Corrections</w:t>
      </w:r>
    </w:p>
    <w:p w:rsidR="00000000" w:rsidDel="00000000" w:rsidP="00000000" w:rsidRDefault="00000000" w:rsidRPr="00000000" w14:paraId="00000005">
      <w:pPr>
        <w:tabs>
          <w:tab w:val="left" w:leader="none" w:pos="1692.8399658203127"/>
        </w:tabs>
        <w:ind w:left="0" w:firstLine="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tabs>
          <w:tab w:val="left" w:leader="none" w:pos="1692.8399658203127"/>
        </w:tabs>
        <w:rPr/>
      </w:pPr>
      <w:bookmarkStart w:colFirst="0" w:colLast="0" w:name="_eky98ty8ufok" w:id="1"/>
      <w:bookmarkEnd w:id="1"/>
      <w:r w:rsidDel="00000000" w:rsidR="00000000" w:rsidRPr="00000000">
        <w:rPr>
          <w:rtl w:val="0"/>
        </w:rPr>
        <w:t xml:space="preserve">RECOMMENDED MOTION</w:t>
      </w:r>
    </w:p>
    <w:p w:rsidR="00000000" w:rsidDel="00000000" w:rsidP="00000000" w:rsidRDefault="00000000" w:rsidRPr="00000000" w14:paraId="00000007">
      <w:pPr>
        <w:tabs>
          <w:tab w:val="left" w:leader="none" w:pos="1692.8399658203127"/>
        </w:tabs>
        <w:ind w:left="720" w:hanging="2.1600341796875"/>
        <w:rPr>
          <w:b w:val="1"/>
          <w:bCs w:val="1"/>
        </w:rPr>
      </w:pPr>
      <w:r w:rsidDel="00000000" w:rsidR="00000000" w:rsidRPr="00000000">
        <w:rPr>
          <w:b w:val="1"/>
          <w:bCs w:val="1"/>
          <w:rtl w:val="0"/>
        </w:rPr>
        <w:t xml:space="preserve">THAT the Membership:</w:t>
      </w:r>
    </w:p>
    <w:p w:rsidR="00000000" w:rsidDel="00000000" w:rsidP="00000000" w:rsidRDefault="00000000" w:rsidRPr="00000000" w14:paraId="00000008">
      <w:pPr>
        <w:numPr>
          <w:ilvl w:val="1"/>
          <w:numId w:val="3"/>
        </w:numPr>
        <w:spacing w:after="0" w:afterAutospacing="0"/>
        <w:ind w:left="1440" w:hanging="360"/>
        <w:rPr>
          <w:b w:val="1"/>
          <w:bCs w:val="1"/>
        </w:rPr>
      </w:pPr>
      <w:r w:rsidDel="00000000" w:rsidR="00000000" w:rsidRPr="00000000">
        <w:rPr>
          <w:b w:val="1"/>
          <w:bCs w:val="1"/>
          <w:rtl w:val="0"/>
        </w:rPr>
        <w:t xml:space="preserve">Amend Bylaw 1.01(f) to read:</w:t>
      </w:r>
      <w:r w:rsidDel="00000000" w:rsidR="00000000" w:rsidRPr="00000000">
        <w:rPr>
          <w:rtl w:val="0"/>
        </w:rPr>
        <w:t xml:space="preserve"> “Meeting of members” includes an Annual General Meeting </w:t>
      </w:r>
      <w:r w:rsidDel="00000000" w:rsidR="00000000" w:rsidRPr="00000000">
        <w:rPr>
          <w:color w:val="ff0000"/>
          <w:u w:val="single"/>
          <w:rtl w:val="0"/>
        </w:rPr>
        <w:t xml:space="preserve">(or “AGM”)</w:t>
      </w:r>
      <w:r w:rsidDel="00000000" w:rsidR="00000000" w:rsidRPr="00000000">
        <w:rPr>
          <w:rtl w:val="0"/>
        </w:rPr>
        <w:t xml:space="preserve"> of members or a Special General Meeting</w:t>
      </w:r>
      <w:r w:rsidDel="00000000" w:rsidR="00000000" w:rsidRPr="00000000">
        <w:rPr>
          <w:color w:val="ff0000"/>
          <w:rtl w:val="0"/>
        </w:rPr>
        <w:t xml:space="preserve"> </w:t>
      </w:r>
      <w:r w:rsidDel="00000000" w:rsidR="00000000" w:rsidRPr="00000000">
        <w:rPr>
          <w:color w:val="ff0000"/>
          <w:u w:val="single"/>
          <w:rtl w:val="0"/>
        </w:rPr>
        <w:t xml:space="preserve">(or “SGM”)</w:t>
      </w:r>
      <w:r w:rsidDel="00000000" w:rsidR="00000000" w:rsidRPr="00000000">
        <w:rPr>
          <w:b w:val="1"/>
          <w:bCs w:val="1"/>
          <w:rtl w:val="0"/>
        </w:rPr>
        <w:t xml:space="preserve"> </w:t>
      </w:r>
      <w:r w:rsidDel="00000000" w:rsidR="00000000" w:rsidRPr="00000000">
        <w:rPr>
          <w:rtl w:val="0"/>
        </w:rPr>
        <w:t xml:space="preserve">of members; “Special General Meeting of members” includes a meeting of any class or classes of members and a special meeting of all members entitled to vote at an Annual General Meeting of members;”</w:t>
      </w:r>
    </w:p>
    <w:p w:rsidR="00000000" w:rsidDel="00000000" w:rsidP="00000000" w:rsidRDefault="00000000" w:rsidRPr="00000000" w14:paraId="00000009">
      <w:pPr>
        <w:widowControl w:val="0"/>
        <w:numPr>
          <w:ilvl w:val="1"/>
          <w:numId w:val="3"/>
        </w:numPr>
        <w:spacing w:after="0" w:afterAutospacing="0"/>
        <w:ind w:left="1440" w:hanging="360"/>
        <w:rPr>
          <w:b w:val="1"/>
          <w:bCs w:val="1"/>
        </w:rPr>
      </w:pPr>
      <w:r w:rsidDel="00000000" w:rsidR="00000000" w:rsidRPr="00000000">
        <w:rPr>
          <w:b w:val="1"/>
          <w:bCs w:val="1"/>
          <w:rtl w:val="0"/>
        </w:rPr>
        <w:t xml:space="preserve">Amend Bylaw 4.3 to read:</w:t>
      </w:r>
      <w:r w:rsidDel="00000000" w:rsidR="00000000" w:rsidRPr="00000000">
        <w:rPr>
          <w:rtl w:val="0"/>
        </w:rPr>
        <w:t xml:space="preserve"> “A Special General Meeting (</w:t>
      </w:r>
      <w:r w:rsidDel="00000000" w:rsidR="00000000" w:rsidRPr="00000000">
        <w:rPr>
          <w:strike w:val="1"/>
          <w:color w:val="ff0000"/>
          <w:rtl w:val="0"/>
        </w:rPr>
        <w:t xml:space="preserve">SPG</w:t>
      </w:r>
      <w:r w:rsidDel="00000000" w:rsidR="00000000" w:rsidRPr="00000000">
        <w:rPr>
          <w:color w:val="ff0000"/>
          <w:u w:val="single"/>
          <w:rtl w:val="0"/>
        </w:rPr>
        <w:t xml:space="preserve">SGM</w:t>
      </w:r>
      <w:r w:rsidDel="00000000" w:rsidR="00000000" w:rsidRPr="00000000">
        <w:rPr>
          <w:rtl w:val="0"/>
        </w:rPr>
        <w:t xml:space="preserve">) shall be called by the Board of Directors as deemed necessary or if requested to do so by five per cent of the members eligible to vote. Attendance at a Special General Meeting can take place either partially or entirely by electronic means, provided participants can communicate adequately with each other.”</w:t>
      </w:r>
    </w:p>
    <w:p w:rsidR="00000000" w:rsidDel="00000000" w:rsidP="00000000" w:rsidRDefault="00000000" w:rsidRPr="00000000" w14:paraId="0000000A">
      <w:pPr>
        <w:widowControl w:val="0"/>
        <w:numPr>
          <w:ilvl w:val="1"/>
          <w:numId w:val="3"/>
        </w:numPr>
        <w:ind w:left="1440" w:hanging="360"/>
        <w:rPr>
          <w:b w:val="1"/>
          <w:bCs w:val="1"/>
        </w:rPr>
      </w:pPr>
      <w:r w:rsidDel="00000000" w:rsidR="00000000" w:rsidRPr="00000000">
        <w:rPr>
          <w:b w:val="1"/>
          <w:bCs w:val="1"/>
          <w:rtl w:val="0"/>
        </w:rPr>
        <w:t xml:space="preserve">Amend Section 8.3 of the Constitution to read:</w:t>
      </w:r>
      <w:r w:rsidDel="00000000" w:rsidR="00000000" w:rsidRPr="00000000">
        <w:rPr>
          <w:rtl w:val="0"/>
        </w:rPr>
        <w:t xml:space="preserve"> “The Corporation will be entitled to any financial surplus resulting from each National Professional Conference, even if the surplus is in excess of policy requirement. The Corporation shall be financially responsible for any deficit resulting from each National Professional Conference based on a budget approved by </w:t>
      </w:r>
      <w:r w:rsidDel="00000000" w:rsidR="00000000" w:rsidRPr="00000000">
        <w:rPr>
          <w:color w:val="ff0000"/>
          <w:u w:val="single"/>
          <w:rtl w:val="0"/>
        </w:rPr>
        <w:t xml:space="preserve">the</w:t>
      </w:r>
      <w:r w:rsidDel="00000000" w:rsidR="00000000" w:rsidRPr="00000000">
        <w:rPr>
          <w:color w:val="ff0000"/>
          <w:rtl w:val="0"/>
        </w:rPr>
        <w:t xml:space="preserve"> </w:t>
      </w:r>
      <w:r w:rsidDel="00000000" w:rsidR="00000000" w:rsidRPr="00000000">
        <w:rPr>
          <w:rtl w:val="0"/>
        </w:rPr>
        <w:t xml:space="preserve">Board.”</w:t>
      </w:r>
    </w:p>
    <w:p w:rsidR="00000000" w:rsidDel="00000000" w:rsidP="00000000" w:rsidRDefault="00000000" w:rsidRPr="00000000" w14:paraId="0000000B">
      <w:pPr>
        <w:pStyle w:val="Heading1"/>
        <w:tabs>
          <w:tab w:val="left" w:leader="none" w:pos="1692.8399658203127"/>
        </w:tabs>
        <w:ind w:firstLine="0"/>
        <w:rPr/>
      </w:pPr>
      <w:bookmarkStart w:colFirst="0" w:colLast="0" w:name="_s8uckpmnwl2c" w:id="2"/>
      <w:bookmarkEnd w:id="2"/>
      <w:r w:rsidDel="00000000" w:rsidR="00000000" w:rsidRPr="00000000">
        <w:rPr>
          <w:rtl w:val="0"/>
        </w:rPr>
        <w:t xml:space="preserve">EXECUTIVE SUMMARY</w:t>
      </w:r>
    </w:p>
    <w:p w:rsidR="00000000" w:rsidDel="00000000" w:rsidP="00000000" w:rsidRDefault="00000000" w:rsidRPr="00000000" w14:paraId="0000000C">
      <w:pPr>
        <w:tabs>
          <w:tab w:val="left" w:leader="none" w:pos="1692.8399658203127"/>
        </w:tabs>
        <w:rPr/>
      </w:pPr>
      <w:r w:rsidDel="00000000" w:rsidR="00000000" w:rsidRPr="00000000">
        <w:rPr>
          <w:rtl w:val="0"/>
        </w:rPr>
        <w:t xml:space="preserve">We have identified some minor errors in the Bylaws that require correction; none of these corrections are material nor do they change the organization’s practices.</w:t>
      </w:r>
    </w:p>
    <w:p w:rsidR="00000000" w:rsidDel="00000000" w:rsidP="00000000" w:rsidRDefault="00000000" w:rsidRPr="00000000" w14:paraId="0000000D">
      <w:pPr>
        <w:pStyle w:val="Heading1"/>
        <w:tabs>
          <w:tab w:val="left" w:leader="none" w:pos="1692.8399658203127"/>
        </w:tabs>
        <w:spacing w:before="200" w:lineRule="auto"/>
        <w:rPr/>
      </w:pPr>
      <w:bookmarkStart w:colFirst="0" w:colLast="0" w:name="_hj1pm7du2tom" w:id="3"/>
      <w:bookmarkEnd w:id="3"/>
      <w:r w:rsidDel="00000000" w:rsidR="00000000" w:rsidRPr="00000000">
        <w:rPr>
          <w:rtl w:val="0"/>
        </w:rPr>
        <w:t xml:space="preserve">DISCUSSION</w:t>
      </w:r>
    </w:p>
    <w:p w:rsidR="00000000" w:rsidDel="00000000" w:rsidP="00000000" w:rsidRDefault="00000000" w:rsidRPr="00000000" w14:paraId="0000000E">
      <w:pPr>
        <w:tabs>
          <w:tab w:val="left" w:leader="none" w:pos="1692.8399658203127"/>
        </w:tabs>
        <w:rPr/>
      </w:pPr>
      <w:r w:rsidDel="00000000" w:rsidR="00000000" w:rsidRPr="00000000">
        <w:rPr>
          <w:rtl w:val="0"/>
        </w:rPr>
        <w:t xml:space="preserve">Section 1.01(f) of the Bylaws sets out the definition of an Annual General Meeting and a Special General Meeting. The acronyms “AGM” and “SGM” are sometimes used in the Bylaws and, while the meaning will be evident to many readers, the actual “AGM” and “SGM” acronyms are not defined for the first time until Section 4.02 of the Bylaws. We recommend making this change to the definitions bylaw for clarity.</w:t>
      </w:r>
    </w:p>
    <w:p w:rsidR="00000000" w:rsidDel="00000000" w:rsidP="00000000" w:rsidRDefault="00000000" w:rsidRPr="00000000" w14:paraId="0000000F">
      <w:pPr>
        <w:tabs>
          <w:tab w:val="left" w:leader="none" w:pos="1692.8399658203127"/>
        </w:tabs>
        <w:rPr/>
      </w:pPr>
      <w:r w:rsidDel="00000000" w:rsidR="00000000" w:rsidRPr="00000000">
        <w:rPr>
          <w:rtl w:val="0"/>
        </w:rPr>
        <w:t xml:space="preserve">Section 4.3 of the Bylaws sets out how the Board of Directors or the member associations may call a Special General Meeting—but the phrase “Special General Meeting” is followed by the acronym “SPG”, which is not used anywhere else in the Bylaws and is not the acronym in common usage. We recommend replacing the “SPG” acronym with the more commonly understood “SGM” acronym.</w:t>
      </w:r>
    </w:p>
    <w:p w:rsidR="00000000" w:rsidDel="00000000" w:rsidP="00000000" w:rsidRDefault="00000000" w:rsidRPr="00000000" w14:paraId="00000010">
      <w:pPr>
        <w:tabs>
          <w:tab w:val="left" w:leader="none" w:pos="1692.8399658203127"/>
        </w:tabs>
        <w:rPr/>
      </w:pPr>
      <w:r w:rsidDel="00000000" w:rsidR="00000000" w:rsidRPr="00000000">
        <w:rPr>
          <w:rtl w:val="0"/>
        </w:rPr>
        <w:t xml:space="preserve">Section 8.3 of the Constitution sets out how financial surpluses are handled for National Professional Conferences. While there is a more substantive constitutional amendment proposed later in this meeting agenda, for this housekeeping amendment, we are only proposing to fix the grammar by changing “Board” to “the Board”.</w:t>
      </w:r>
    </w:p>
    <w:p w:rsidR="00000000" w:rsidDel="00000000" w:rsidP="00000000" w:rsidRDefault="00000000" w:rsidRPr="00000000" w14:paraId="00000011">
      <w:pPr>
        <w:pStyle w:val="Heading1"/>
        <w:tabs>
          <w:tab w:val="left" w:leader="none" w:pos="1692.8399658203127"/>
        </w:tabs>
        <w:rPr/>
      </w:pPr>
      <w:bookmarkStart w:colFirst="0" w:colLast="0" w:name="_9qzy2ti6f6os" w:id="4"/>
      <w:bookmarkEnd w:id="4"/>
      <w:r w:rsidDel="00000000" w:rsidR="00000000" w:rsidRPr="00000000">
        <w:rPr>
          <w:rtl w:val="0"/>
        </w:rPr>
        <w:t xml:space="preserve">APPENDIX 1: LANGUAGE OF PROPOSED CHANGES</w:t>
      </w:r>
    </w:p>
    <w:p w:rsidR="00000000" w:rsidDel="00000000" w:rsidP="00000000" w:rsidRDefault="00000000" w:rsidRPr="00000000" w14:paraId="00000012">
      <w:pPr>
        <w:tabs>
          <w:tab w:val="left" w:leader="none" w:pos="1692.8399658203127"/>
        </w:tabs>
        <w:rPr>
          <w:b w:val="1"/>
          <w:bCs w:val="1"/>
        </w:rPr>
      </w:pPr>
      <w:r w:rsidDel="00000000" w:rsidR="00000000" w:rsidRPr="00000000">
        <w:rPr>
          <w:b w:val="1"/>
          <w:bCs w:val="1"/>
          <w:rtl w:val="0"/>
        </w:rPr>
        <w:t xml:space="preserve">Proposed Changes to Section 1.01(f) of the Bylaws</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Meeting of members” includes an Annual General Meeting </w:t>
      </w:r>
      <w:r w:rsidDel="00000000" w:rsidR="00000000" w:rsidRPr="00000000">
        <w:rPr>
          <w:color w:val="ff0000"/>
          <w:u w:val="single"/>
          <w:rtl w:val="0"/>
        </w:rPr>
        <w:t xml:space="preserve">(or “AGM”)</w:t>
      </w:r>
      <w:r w:rsidDel="00000000" w:rsidR="00000000" w:rsidRPr="00000000">
        <w:rPr>
          <w:rtl w:val="0"/>
        </w:rPr>
        <w:t xml:space="preserve"> of members or a Special General Meeting</w:t>
      </w:r>
      <w:r w:rsidDel="00000000" w:rsidR="00000000" w:rsidRPr="00000000">
        <w:rPr>
          <w:color w:val="ff0000"/>
          <w:rtl w:val="0"/>
        </w:rPr>
        <w:t xml:space="preserve"> </w:t>
      </w:r>
      <w:r w:rsidDel="00000000" w:rsidR="00000000" w:rsidRPr="00000000">
        <w:rPr>
          <w:color w:val="ff0000"/>
          <w:u w:val="single"/>
          <w:rtl w:val="0"/>
        </w:rPr>
        <w:t xml:space="preserve">(or “SGM”)</w:t>
      </w:r>
      <w:r w:rsidDel="00000000" w:rsidR="00000000" w:rsidRPr="00000000">
        <w:rPr>
          <w:b w:val="1"/>
          <w:bCs w:val="1"/>
          <w:rtl w:val="0"/>
        </w:rPr>
        <w:t xml:space="preserve"> </w:t>
      </w:r>
      <w:r w:rsidDel="00000000" w:rsidR="00000000" w:rsidRPr="00000000">
        <w:rPr>
          <w:rtl w:val="0"/>
        </w:rPr>
        <w:t xml:space="preserve">of members; “Special General Meeting of members” includes a meeting of any class or classes of members and a special meeting of all members entitled to vote at an Annual General Meeting of members;</w:t>
      </w:r>
    </w:p>
    <w:p w:rsidR="00000000" w:rsidDel="00000000" w:rsidP="00000000" w:rsidRDefault="00000000" w:rsidRPr="00000000" w14:paraId="00000014">
      <w:pPr>
        <w:ind w:firstLine="0"/>
        <w:rPr/>
      </w:pPr>
      <w:r w:rsidDel="00000000" w:rsidR="00000000" w:rsidRPr="00000000">
        <w:rPr>
          <w:b w:val="1"/>
          <w:bCs w:val="1"/>
          <w:rtl w:val="0"/>
        </w:rPr>
        <w:t xml:space="preserve">Proposed Changes to Section 4.3 of the Bylaws</w:t>
      </w:r>
      <w:r w:rsidDel="00000000" w:rsidR="00000000" w:rsidRPr="00000000">
        <w:rPr>
          <w:rtl w:val="0"/>
        </w:rPr>
      </w:r>
    </w:p>
    <w:p w:rsidR="00000000" w:rsidDel="00000000" w:rsidP="00000000" w:rsidRDefault="00000000" w:rsidRPr="00000000" w14:paraId="00000015">
      <w:pPr>
        <w:pStyle w:val="Heading1"/>
        <w:tabs>
          <w:tab w:val="left" w:leader="none" w:pos="1692.8399658203127"/>
        </w:tabs>
        <w:rPr>
          <w:b w:val="0"/>
          <w:bCs w:val="0"/>
          <w:u w:val="none"/>
        </w:rPr>
      </w:pPr>
      <w:bookmarkStart w:colFirst="0" w:colLast="0" w:name="_6v0wrb5wrqhu" w:id="5"/>
      <w:bookmarkEnd w:id="5"/>
      <w:r w:rsidDel="00000000" w:rsidR="00000000" w:rsidRPr="00000000">
        <w:rPr>
          <w:b w:val="0"/>
          <w:bCs w:val="0"/>
          <w:u w:val="none"/>
          <w:rtl w:val="0"/>
        </w:rPr>
        <w:t xml:space="preserve">A Special General Meeting (</w:t>
      </w:r>
      <w:r w:rsidDel="00000000" w:rsidR="00000000" w:rsidRPr="00000000">
        <w:rPr>
          <w:b w:val="0"/>
          <w:bCs w:val="0"/>
          <w:strike w:val="1"/>
          <w:color w:val="ff0000"/>
          <w:u w:val="none"/>
          <w:rtl w:val="0"/>
        </w:rPr>
        <w:t xml:space="preserve">SPG</w:t>
      </w:r>
      <w:r w:rsidDel="00000000" w:rsidR="00000000" w:rsidRPr="00000000">
        <w:rPr>
          <w:b w:val="0"/>
          <w:bCs w:val="0"/>
          <w:color w:val="ff0000"/>
          <w:rtl w:val="0"/>
        </w:rPr>
        <w:t xml:space="preserve">SGM</w:t>
      </w:r>
      <w:r w:rsidDel="00000000" w:rsidR="00000000" w:rsidRPr="00000000">
        <w:rPr>
          <w:b w:val="0"/>
          <w:bCs w:val="0"/>
          <w:u w:val="none"/>
          <w:rtl w:val="0"/>
        </w:rPr>
        <w:t xml:space="preserve">) shall be called by the Board of Directors as deemed necessary or if requested to do so by five per cent of the members eligible to vote. Attendance at a Special General Meeting can take place either partially or entirely by electronic means, provided participants can communicate adequately with each other.</w:t>
      </w:r>
    </w:p>
    <w:p w:rsidR="00000000" w:rsidDel="00000000" w:rsidP="00000000" w:rsidRDefault="00000000" w:rsidRPr="00000000" w14:paraId="00000016">
      <w:pPr>
        <w:pStyle w:val="Heading1"/>
        <w:tabs>
          <w:tab w:val="left" w:leader="none" w:pos="1692.8399658203127"/>
        </w:tabs>
        <w:rPr>
          <w:b w:val="0"/>
          <w:bCs w:val="0"/>
          <w:u w:val="none"/>
        </w:rPr>
      </w:pPr>
      <w:bookmarkStart w:colFirst="0" w:colLast="0" w:name="_67mihbhmacjo" w:id="6"/>
      <w:bookmarkEnd w:id="6"/>
      <w:r w:rsidDel="00000000" w:rsidR="00000000" w:rsidRPr="00000000">
        <w:rPr>
          <w:u w:val="none"/>
          <w:rtl w:val="0"/>
        </w:rPr>
        <w:t xml:space="preserve">Proposed Changes to Section 8.3 of the Constitution</w:t>
      </w:r>
      <w:r w:rsidDel="00000000" w:rsidR="00000000" w:rsidRPr="00000000">
        <w:rPr>
          <w:rtl w:val="0"/>
        </w:rPr>
      </w:r>
    </w:p>
    <w:p w:rsidR="00000000" w:rsidDel="00000000" w:rsidP="00000000" w:rsidRDefault="00000000" w:rsidRPr="00000000" w14:paraId="00000017">
      <w:pPr>
        <w:pStyle w:val="Heading1"/>
        <w:tabs>
          <w:tab w:val="left" w:leader="none" w:pos="1692.8399658203127"/>
        </w:tabs>
        <w:rPr/>
      </w:pPr>
      <w:bookmarkStart w:colFirst="0" w:colLast="0" w:name="_sxf1225e9la3" w:id="7"/>
      <w:bookmarkEnd w:id="7"/>
      <w:r w:rsidDel="00000000" w:rsidR="00000000" w:rsidRPr="00000000">
        <w:rPr>
          <w:b w:val="0"/>
          <w:bCs w:val="0"/>
          <w:u w:val="none"/>
          <w:rtl w:val="0"/>
        </w:rPr>
        <w:t xml:space="preserve">The Corporation will be entitled to any financial surplus resulting from each National Professional Conference, even if the surplus is in excess of policy </w:t>
      </w:r>
      <w:r w:rsidDel="00000000" w:rsidR="00000000" w:rsidRPr="00000000">
        <w:rPr>
          <w:b w:val="0"/>
          <w:bCs w:val="0"/>
          <w:u w:val="none"/>
          <w:rtl w:val="0"/>
        </w:rPr>
        <w:t xml:space="preserve">requirement</w:t>
      </w:r>
      <w:r w:rsidDel="00000000" w:rsidR="00000000" w:rsidRPr="00000000">
        <w:rPr>
          <w:b w:val="0"/>
          <w:bCs w:val="0"/>
          <w:u w:val="none"/>
          <w:rtl w:val="0"/>
        </w:rPr>
        <w:t xml:space="preserve">. The Corporation shall be financially responsible for any deficit resulting from each National Professional Conference based on a budget approved by </w:t>
      </w:r>
      <w:r w:rsidDel="00000000" w:rsidR="00000000" w:rsidRPr="00000000">
        <w:rPr>
          <w:b w:val="0"/>
          <w:bCs w:val="0"/>
          <w:color w:val="ff0000"/>
          <w:rtl w:val="0"/>
        </w:rPr>
        <w:t xml:space="preserve">the</w:t>
      </w:r>
      <w:r w:rsidDel="00000000" w:rsidR="00000000" w:rsidRPr="00000000">
        <w:rPr>
          <w:b w:val="0"/>
          <w:bCs w:val="0"/>
          <w:color w:val="ff0000"/>
          <w:u w:val="none"/>
          <w:rtl w:val="0"/>
        </w:rPr>
        <w:t xml:space="preserve"> </w:t>
      </w:r>
      <w:r w:rsidDel="00000000" w:rsidR="00000000" w:rsidRPr="00000000">
        <w:rPr>
          <w:b w:val="0"/>
          <w:bCs w:val="0"/>
          <w:u w:val="none"/>
          <w:rtl w:val="0"/>
        </w:rPr>
        <w:t xml:space="preserve">Board.</w:t>
      </w: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widowControl w:val="0"/>
        <w:spacing w:after="306.2" w:before="305.59999999999997" w:line="240" w:lineRule="auto"/>
        <w:ind w:left="14.88006591796875" w:firstLine="0"/>
        <w:rPr>
          <w:b w:val="1"/>
          <w:bCs w:val="1"/>
        </w:rPr>
      </w:pPr>
      <w:bookmarkStart w:colFirst="0" w:colLast="0" w:name="_dap9gjkd01cm" w:id="8"/>
      <w:bookmarkEnd w:id="8"/>
      <w:r w:rsidDel="00000000" w:rsidR="00000000" w:rsidRPr="00000000">
        <w:rPr>
          <w:u w:val="none"/>
          <w:rtl w:val="0"/>
        </w:rPr>
        <w:t xml:space="preserve">A</w:t>
      </w:r>
      <w:r w:rsidDel="00000000" w:rsidR="00000000" w:rsidRPr="00000000">
        <w:rPr>
          <w:u w:val="none"/>
          <w:rtl w:val="0"/>
        </w:rPr>
        <w:t xml:space="preserve">MENDMENTS TO THE CONSTITUTION</w:t>
      </w:r>
      <w:r w:rsidDel="00000000" w:rsidR="00000000" w:rsidRPr="00000000">
        <w:rPr>
          <w:rtl w:val="0"/>
        </w:rPr>
      </w:r>
    </w:p>
    <w:p w:rsidR="00000000" w:rsidDel="00000000" w:rsidP="00000000" w:rsidRDefault="00000000" w:rsidRPr="00000000" w14:paraId="00000019">
      <w:pPr>
        <w:pStyle w:val="Heading1"/>
        <w:widowControl w:val="0"/>
        <w:spacing w:after="306.2" w:before="305.59999999999997" w:line="240" w:lineRule="auto"/>
        <w:ind w:left="14.88006591796875" w:firstLine="0"/>
        <w:rPr>
          <w:vertAlign w:val="baseline"/>
        </w:rPr>
      </w:pPr>
      <w:bookmarkStart w:colFirst="0" w:colLast="0" w:name="_svi188vyto9u" w:id="9"/>
      <w:bookmarkEnd w:id="9"/>
      <w:r w:rsidDel="00000000" w:rsidR="00000000" w:rsidRPr="00000000">
        <w:rPr>
          <w:rtl w:val="0"/>
        </w:rPr>
        <w:t xml:space="preserve">Amendment #2: Financial Responsibility for Regional Professional Conferences</w:t>
      </w:r>
      <w:r w:rsidDel="00000000" w:rsidR="00000000" w:rsidRPr="00000000">
        <w:rPr>
          <w:rtl w:val="0"/>
        </w:rPr>
      </w:r>
    </w:p>
    <w:p w:rsidR="00000000" w:rsidDel="00000000" w:rsidP="00000000" w:rsidRDefault="00000000" w:rsidRPr="00000000" w14:paraId="0000001A">
      <w:pPr>
        <w:widowControl w:val="0"/>
        <w:spacing w:after="120" w:line="244.8" w:lineRule="auto"/>
        <w:rPr/>
      </w:pPr>
      <w:r w:rsidDel="00000000" w:rsidR="00000000" w:rsidRPr="00000000">
        <w:rPr>
          <w:rtl w:val="0"/>
        </w:rPr>
        <w:t xml:space="preserve">This amendment proposes to amend the Constitution’s articles governing financial liability for conferences by setting out that while the Corporation is generally responsible for deficits arising from conferences based on an approved budget, the Corporation may decline to reimburse for a deficit excess where either the Corporation or the host reasonably foresees a deficit and the host declines to take steps that the Board has requested that they take to mitigate the deficit.</w:t>
      </w:r>
    </w:p>
    <w:p w:rsidR="00000000" w:rsidDel="00000000" w:rsidP="00000000" w:rsidRDefault="00000000" w:rsidRPr="00000000" w14:paraId="0000001B">
      <w:pPr>
        <w:widowControl w:val="0"/>
        <w:spacing w:after="120" w:line="244.8" w:lineRule="auto"/>
        <w:rPr/>
      </w:pPr>
      <w:r w:rsidDel="00000000" w:rsidR="00000000" w:rsidRPr="00000000">
        <w:rPr>
          <w:rtl w:val="0"/>
        </w:rPr>
        <w:t xml:space="preserve">Motion:</w:t>
      </w:r>
    </w:p>
    <w:p w:rsidR="00000000" w:rsidDel="00000000" w:rsidP="00000000" w:rsidRDefault="00000000" w:rsidRPr="00000000" w14:paraId="0000001C">
      <w:pPr>
        <w:widowControl w:val="0"/>
        <w:spacing w:after="120" w:line="244.8" w:lineRule="auto"/>
        <w:ind w:left="720" w:hanging="2.1600341796875"/>
        <w:rPr/>
      </w:pPr>
      <w:r w:rsidDel="00000000" w:rsidR="00000000" w:rsidRPr="00000000">
        <w:rPr>
          <w:b w:val="1"/>
          <w:bCs w:val="1"/>
          <w:rtl w:val="0"/>
        </w:rPr>
        <w:t xml:space="preserve">THAT the Membership amend the Constitution:</w:t>
      </w:r>
      <w:r w:rsidDel="00000000" w:rsidR="00000000" w:rsidRPr="00000000">
        <w:rPr>
          <w:rtl w:val="0"/>
        </w:rPr>
      </w:r>
    </w:p>
    <w:p w:rsidR="00000000" w:rsidDel="00000000" w:rsidP="00000000" w:rsidRDefault="00000000" w:rsidRPr="00000000" w14:paraId="0000001D">
      <w:pPr>
        <w:widowControl w:val="0"/>
        <w:numPr>
          <w:ilvl w:val="0"/>
          <w:numId w:val="4"/>
        </w:numPr>
        <w:spacing w:after="200" w:line="244.8" w:lineRule="auto"/>
        <w:ind w:left="1440" w:hanging="360"/>
        <w:rPr>
          <w:b w:val="1"/>
          <w:bCs w:val="1"/>
          <w:u w:val="none"/>
        </w:rPr>
      </w:pPr>
      <w:r w:rsidDel="00000000" w:rsidR="00000000" w:rsidRPr="00000000">
        <w:rPr>
          <w:b w:val="1"/>
          <w:bCs w:val="1"/>
          <w:rtl w:val="0"/>
        </w:rPr>
        <w:t xml:space="preserve">By amending article 8.4 to read: </w:t>
      </w:r>
      <w:r w:rsidDel="00000000" w:rsidR="00000000" w:rsidRPr="00000000">
        <w:rPr>
          <w:rtl w:val="0"/>
        </w:rPr>
        <w:t xml:space="preserve">“The Corporation will be entitled to any financial surplus resulting from each regional meeting. The regional host will present a budget for approval by the Board. </w:t>
      </w:r>
      <w:r w:rsidDel="00000000" w:rsidR="00000000" w:rsidRPr="00000000">
        <w:rPr>
          <w:strike w:val="1"/>
          <w:color w:val="ff0000"/>
          <w:rtl w:val="0"/>
        </w:rPr>
        <w:t xml:space="preserve">The regional host shall be financially responsible for any deficit resulting from each regional meeting.</w:t>
      </w:r>
      <w:r w:rsidDel="00000000" w:rsidR="00000000" w:rsidRPr="00000000">
        <w:rPr>
          <w:color w:val="ff0000"/>
          <w:rtl w:val="0"/>
        </w:rPr>
        <w:t xml:space="preserve"> </w:t>
      </w:r>
      <w:r w:rsidDel="00000000" w:rsidR="00000000" w:rsidRPr="00000000">
        <w:rPr>
          <w:color w:val="ff0000"/>
          <w:u w:val="single"/>
          <w:rtl w:val="0"/>
        </w:rPr>
        <w:t xml:space="preserve">The Corporation shall be financially responsible for any deficit resulting from each Regional Professional Conference based on a budget approved by the Board.</w:t>
      </w:r>
    </w:p>
    <w:p w:rsidR="00000000" w:rsidDel="00000000" w:rsidP="00000000" w:rsidRDefault="00000000" w:rsidRPr="00000000" w14:paraId="0000001E">
      <w:pPr>
        <w:widowControl w:val="0"/>
        <w:numPr>
          <w:ilvl w:val="0"/>
          <w:numId w:val="4"/>
        </w:numPr>
        <w:spacing w:after="120" w:line="244.8" w:lineRule="auto"/>
        <w:ind w:left="1440" w:hanging="360"/>
        <w:rPr>
          <w:b w:val="1"/>
          <w:bCs w:val="1"/>
        </w:rPr>
      </w:pPr>
      <w:r w:rsidDel="00000000" w:rsidR="00000000" w:rsidRPr="00000000">
        <w:rPr>
          <w:b w:val="1"/>
          <w:bCs w:val="1"/>
          <w:rtl w:val="0"/>
        </w:rPr>
        <w:t xml:space="preserve">By adding a new article 8.5  to read as follows with subsequent bylaws renumbered as necessary: </w:t>
      </w:r>
      <w:r w:rsidDel="00000000" w:rsidR="00000000" w:rsidRPr="00000000">
        <w:rPr>
          <w:rtl w:val="0"/>
        </w:rPr>
        <w:t xml:space="preserve">“</w:t>
      </w:r>
      <w:r w:rsidDel="00000000" w:rsidR="00000000" w:rsidRPr="00000000">
        <w:rPr>
          <w:color w:val="ff0000"/>
          <w:u w:val="single"/>
          <w:rtl w:val="0"/>
        </w:rPr>
        <w:t xml:space="preserve">Where a national or regional host or the Board becomes aware that a conference deficit is likely to exceed the deficit forecast in the conference budget approved by the Board under articles 8.3 or 8.4 of the Constitution, and the Board, by motion, requests reasonable changes to conference revenues, expenses, programming, or operations that the host declines to implement, then the Corporation’s liability for the conference deficit shall be limited to the deficit that the Board approved in the conference budget.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F">
      <w:pPr>
        <w:pStyle w:val="Heading1"/>
        <w:widowControl w:val="0"/>
        <w:ind w:firstLine="0"/>
        <w:rPr/>
      </w:pPr>
      <w:bookmarkStart w:colFirst="0" w:colLast="0" w:name="_j8v9pgimy0gh" w:id="10"/>
      <w:bookmarkEnd w:id="10"/>
      <w:r w:rsidDel="00000000" w:rsidR="00000000" w:rsidRPr="00000000">
        <w:rPr>
          <w:u w:val="none"/>
          <w:rtl w:val="0"/>
        </w:rPr>
        <w:t xml:space="preserve">AMENDMENTS TO THE BYLAWS</w:t>
      </w:r>
      <w:r w:rsidDel="00000000" w:rsidR="00000000" w:rsidRPr="00000000">
        <w:rPr>
          <w:rtl w:val="0"/>
        </w:rPr>
      </w:r>
    </w:p>
    <w:p w:rsidR="00000000" w:rsidDel="00000000" w:rsidP="00000000" w:rsidRDefault="00000000" w:rsidRPr="00000000" w14:paraId="00000020">
      <w:pPr>
        <w:pStyle w:val="Heading1"/>
        <w:rPr/>
      </w:pPr>
      <w:bookmarkStart w:colFirst="0" w:colLast="0" w:name="_oy5z72gbuays" w:id="11"/>
      <w:bookmarkEnd w:id="11"/>
      <w:r w:rsidDel="00000000" w:rsidR="00000000" w:rsidRPr="00000000">
        <w:rPr>
          <w:rtl w:val="0"/>
        </w:rPr>
        <w:t xml:space="preserve">Amendment #2: Role of the General Meeting Chair</w:t>
      </w:r>
    </w:p>
    <w:p w:rsidR="00000000" w:rsidDel="00000000" w:rsidP="00000000" w:rsidRDefault="00000000" w:rsidRPr="00000000" w14:paraId="00000021">
      <w:pPr>
        <w:rPr/>
      </w:pPr>
      <w:r w:rsidDel="00000000" w:rsidR="00000000" w:rsidRPr="00000000">
        <w:rPr>
          <w:rtl w:val="0"/>
        </w:rPr>
        <w:t xml:space="preserve">This amendment proposes to amend the Bylaws to clarify that the chair of an AGM or SGM shall only have the right to cast a vote if they are also a primary member (or if they hold the proxy of a primary member) and have not already voted. </w:t>
      </w:r>
      <w:r w:rsidDel="00000000" w:rsidR="00000000" w:rsidRPr="00000000">
        <w:rPr>
          <w:i w:val="1"/>
          <w:iCs w:val="1"/>
          <w:rtl w:val="0"/>
        </w:rPr>
        <w:t xml:space="preserve">Robert’s Rules of Order, Newly Revised, 11th ed.</w:t>
      </w:r>
      <w:r w:rsidDel="00000000" w:rsidR="00000000" w:rsidRPr="00000000">
        <w:rPr>
          <w:rtl w:val="0"/>
        </w:rPr>
        <w:t xml:space="preserve">, already provides that a motion fails on a tied vote, and so no tie-breaking mechanism is required (a tied vote is not defective).</w:t>
      </w:r>
    </w:p>
    <w:p w:rsidR="00000000" w:rsidDel="00000000" w:rsidP="00000000" w:rsidRDefault="00000000" w:rsidRPr="00000000" w14:paraId="00000022">
      <w:pPr>
        <w:ind w:left="720" w:hanging="2.1600341796875"/>
        <w:rPr/>
      </w:pPr>
      <w:r w:rsidDel="00000000" w:rsidR="00000000" w:rsidRPr="00000000">
        <w:rPr>
          <w:b w:val="1"/>
          <w:bCs w:val="1"/>
          <w:rtl w:val="0"/>
        </w:rPr>
        <w:t xml:space="preserve">THAT the Membership amend Bylaw 4.06 to read:</w:t>
      </w:r>
      <w:r w:rsidDel="00000000" w:rsidR="00000000" w:rsidRPr="00000000">
        <w:rPr>
          <w:rtl w:val="0"/>
        </w:rPr>
      </w:r>
    </w:p>
    <w:p w:rsidR="00000000" w:rsidDel="00000000" w:rsidP="00000000" w:rsidRDefault="00000000" w:rsidRPr="00000000" w14:paraId="00000023">
      <w:pPr>
        <w:ind w:left="1440" w:firstLine="0"/>
        <w:rPr/>
      </w:pPr>
      <w:r w:rsidDel="00000000" w:rsidR="00000000" w:rsidRPr="00000000">
        <w:rPr>
          <w:rtl w:val="0"/>
        </w:rPr>
        <w:t xml:space="preserve">“</w:t>
      </w:r>
      <w:r w:rsidDel="00000000" w:rsidR="00000000" w:rsidRPr="00000000">
        <w:rPr>
          <w:b w:val="1"/>
          <w:bCs w:val="1"/>
          <w:rtl w:val="0"/>
        </w:rPr>
        <w:t xml:space="preserve">Votes to Govern</w:t>
      </w:r>
      <w:r w:rsidDel="00000000" w:rsidR="00000000" w:rsidRPr="00000000">
        <w:rPr>
          <w:rtl w:val="0"/>
        </w:rPr>
        <w:br w:type="textWrapping"/>
        <w:t xml:space="preserve">At any meeting of members every question shall, unless otherwise provided by the Articles or Bylaws or by the Act, be determined by a majority of the votes cast on the questions. </w:t>
      </w:r>
      <w:r w:rsidDel="00000000" w:rsidR="00000000" w:rsidRPr="00000000">
        <w:rPr>
          <w:color w:val="ff0000"/>
          <w:u w:val="single"/>
          <w:rtl w:val="0"/>
        </w:rPr>
        <w:t xml:space="preserve">In case of an election by secret ballot, if the Chair is entitled to vote as a voting member, they may vote as with all other voting members.</w:t>
      </w:r>
      <w:r w:rsidDel="00000000" w:rsidR="00000000" w:rsidRPr="00000000">
        <w:rPr>
          <w:rtl w:val="0"/>
        </w:rPr>
        <w:t xml:space="preserve"> In case of an equality of votes either on a show of hands </w:t>
      </w:r>
      <w:r w:rsidDel="00000000" w:rsidR="00000000" w:rsidRPr="00000000">
        <w:rPr>
          <w:strike w:val="1"/>
          <w:color w:val="ff0000"/>
          <w:rtl w:val="0"/>
        </w:rPr>
        <w:t xml:space="preserve">or on a ballot or </w:t>
      </w:r>
      <w:r w:rsidDel="00000000" w:rsidR="00000000" w:rsidRPr="00000000">
        <w:rPr>
          <w:rtl w:val="0"/>
        </w:rPr>
        <w:t xml:space="preserve">on the results of electronic voting, the Chair of the meeting </w:t>
      </w:r>
      <w:r w:rsidDel="00000000" w:rsidR="00000000" w:rsidRPr="00000000">
        <w:rPr>
          <w:strike w:val="1"/>
          <w:color w:val="ff0000"/>
          <w:rtl w:val="0"/>
        </w:rPr>
        <w:t xml:space="preserve">shall</w:t>
      </w:r>
      <w:r w:rsidDel="00000000" w:rsidR="00000000" w:rsidRPr="00000000">
        <w:rPr>
          <w:color w:val="ff0000"/>
          <w:u w:val="single"/>
          <w:rtl w:val="0"/>
        </w:rPr>
        <w:t xml:space="preserve">may</w:t>
      </w:r>
      <w:r w:rsidDel="00000000" w:rsidR="00000000" w:rsidRPr="00000000">
        <w:rPr>
          <w:rtl w:val="0"/>
        </w:rPr>
        <w:t xml:space="preserve"> </w:t>
      </w:r>
      <w:r w:rsidDel="00000000" w:rsidR="00000000" w:rsidRPr="00000000">
        <w:rPr>
          <w:rtl w:val="0"/>
        </w:rPr>
        <w:t xml:space="preserve">cast a vote</w:t>
      </w:r>
      <w:r w:rsidDel="00000000" w:rsidR="00000000" w:rsidRPr="00000000">
        <w:rPr>
          <w:color w:val="ff0000"/>
          <w:u w:val="single"/>
          <w:rtl w:val="0"/>
        </w:rPr>
        <w:t xml:space="preserve"> if they are entitled to vote as a voting member and have not already voted</w:t>
      </w:r>
      <w:r w:rsidDel="00000000" w:rsidR="00000000" w:rsidRPr="00000000">
        <w:rPr>
          <w:color w:val="ff0000"/>
          <w:rtl w:val="0"/>
        </w:rPr>
        <w:t xml:space="preserve">. </w:t>
      </w:r>
      <w:r w:rsidDel="00000000" w:rsidR="00000000" w:rsidRPr="00000000">
        <w:rPr>
          <w:color w:val="ff0000"/>
          <w:u w:val="single"/>
          <w:rtl w:val="0"/>
        </w:rPr>
        <w:t xml:space="preserve">If the Chair is entitled to vote and abstains or the Chair is not entitled to vote, an equality of votes means that the motion is not approved.</w:t>
      </w:r>
      <w:r w:rsidDel="00000000" w:rsidR="00000000" w:rsidRPr="00000000">
        <w:rPr>
          <w:rtl w:val="0"/>
        </w:rPr>
        <w:t xml:space="preserve">”</w:t>
      </w:r>
    </w:p>
    <w:p w:rsidR="00000000" w:rsidDel="00000000" w:rsidP="00000000" w:rsidRDefault="00000000" w:rsidRPr="00000000" w14:paraId="00000024">
      <w:pPr>
        <w:pStyle w:val="Heading1"/>
        <w:ind w:firstLine="0"/>
        <w:rPr/>
      </w:pPr>
      <w:bookmarkStart w:colFirst="0" w:colLast="0" w:name="_jzwh5jsvzv6f" w:id="12"/>
      <w:bookmarkEnd w:id="12"/>
      <w:r w:rsidDel="00000000" w:rsidR="00000000" w:rsidRPr="00000000">
        <w:rPr>
          <w:rtl w:val="0"/>
        </w:rPr>
        <w:t xml:space="preserve">Amendment #3: Chief Returning Officer Term</w:t>
      </w:r>
    </w:p>
    <w:p w:rsidR="00000000" w:rsidDel="00000000" w:rsidP="00000000" w:rsidRDefault="00000000" w:rsidRPr="00000000" w14:paraId="00000025">
      <w:pPr>
        <w:ind w:left="0" w:firstLine="0"/>
        <w:rPr/>
      </w:pPr>
      <w:r w:rsidDel="00000000" w:rsidR="00000000" w:rsidRPr="00000000">
        <w:rPr>
          <w:rtl w:val="0"/>
        </w:rPr>
        <w:t xml:space="preserve">This amendment proposes to align the Bylaws relating to the Chief Returning Officer’s appointment with the organization’s current practices, wherein the CRO’s appointment is not considered in practical terms against the start or end of the NPC.</w:t>
      </w:r>
    </w:p>
    <w:p w:rsidR="00000000" w:rsidDel="00000000" w:rsidP="00000000" w:rsidRDefault="00000000" w:rsidRPr="00000000" w14:paraId="00000026">
      <w:pPr>
        <w:ind w:left="720" w:firstLine="0"/>
        <w:rPr/>
      </w:pPr>
      <w:r w:rsidDel="00000000" w:rsidR="00000000" w:rsidRPr="00000000">
        <w:rPr>
          <w:b w:val="1"/>
          <w:bCs w:val="1"/>
          <w:rtl w:val="0"/>
        </w:rPr>
        <w:t xml:space="preserve">THAT the Membership </w:t>
      </w:r>
      <w:r w:rsidDel="00000000" w:rsidR="00000000" w:rsidRPr="00000000">
        <w:rPr>
          <w:b w:val="1"/>
          <w:bCs w:val="1"/>
          <w:rtl w:val="0"/>
        </w:rPr>
        <w:t xml:space="preserve">amend</w:t>
      </w:r>
      <w:r w:rsidDel="00000000" w:rsidR="00000000" w:rsidRPr="00000000">
        <w:rPr>
          <w:b w:val="1"/>
          <w:bCs w:val="1"/>
          <w:rtl w:val="0"/>
        </w:rPr>
        <w:t xml:space="preserve"> Bylaw 11.01 to read: </w:t>
      </w:r>
      <w:r w:rsidDel="00000000" w:rsidR="00000000" w:rsidRPr="00000000">
        <w:rPr>
          <w:rtl w:val="0"/>
        </w:rPr>
        <w:t xml:space="preserve">“11.01 Prior to each National Professional Conference (NPC), the Board will appoint a Chief Returning Officer (CRO) to serve </w:t>
      </w:r>
      <w:r w:rsidDel="00000000" w:rsidR="00000000" w:rsidRPr="00000000">
        <w:rPr>
          <w:color w:val="ff0000"/>
          <w:u w:val="single"/>
          <w:rtl w:val="0"/>
        </w:rPr>
        <w:t xml:space="preserve">for a term of office determined by the Board, which may include a continuous appointment, and subject to earlier removal by the Board</w:t>
      </w:r>
      <w:r w:rsidDel="00000000" w:rsidR="00000000" w:rsidRPr="00000000">
        <w:rPr>
          <w:rtl w:val="0"/>
        </w:rPr>
        <w:t xml:space="preserve">. The CRO must be an employee of a member of the Corporation, but may not be a member of the Board either when appointed or while serving as CRO.”</w:t>
      </w:r>
      <w:r w:rsidDel="00000000" w:rsidR="00000000" w:rsidRPr="00000000">
        <w:rPr>
          <w:rtl w:val="0"/>
        </w:rPr>
      </w:r>
    </w:p>
    <w:p w:rsidR="00000000" w:rsidDel="00000000" w:rsidP="00000000" w:rsidRDefault="00000000" w:rsidRPr="00000000" w14:paraId="00000027">
      <w:pPr>
        <w:pStyle w:val="Heading1"/>
        <w:widowControl w:val="0"/>
        <w:ind w:firstLine="0"/>
        <w:rPr/>
      </w:pPr>
      <w:bookmarkStart w:colFirst="0" w:colLast="0" w:name="_wchzhmyjgwz1" w:id="13"/>
      <w:bookmarkEnd w:id="13"/>
      <w:r w:rsidDel="00000000" w:rsidR="00000000" w:rsidRPr="00000000">
        <w:rPr>
          <w:rtl w:val="0"/>
        </w:rPr>
        <w:t xml:space="preserve">Amendment #4: Housekeeping (Updating a Definition)</w:t>
      </w:r>
      <w:r w:rsidDel="00000000" w:rsidR="00000000" w:rsidRPr="00000000">
        <w:rPr>
          <w:rtl w:val="0"/>
        </w:rPr>
      </w:r>
    </w:p>
    <w:p w:rsidR="00000000" w:rsidDel="00000000" w:rsidP="00000000" w:rsidRDefault="00000000" w:rsidRPr="00000000" w14:paraId="00000028">
      <w:pPr>
        <w:ind w:left="720" w:hanging="2.1600341796875"/>
        <w:rPr>
          <w:b w:val="1"/>
          <w:bCs w:val="1"/>
        </w:rPr>
      </w:pPr>
      <w:r w:rsidDel="00000000" w:rsidR="00000000" w:rsidRPr="00000000">
        <w:rPr>
          <w:b w:val="1"/>
          <w:bCs w:val="1"/>
          <w:rtl w:val="0"/>
        </w:rPr>
        <w:t xml:space="preserve">THAT the Membership:</w:t>
      </w:r>
    </w:p>
    <w:p w:rsidR="00000000" w:rsidDel="00000000" w:rsidP="00000000" w:rsidRDefault="00000000" w:rsidRPr="00000000" w14:paraId="00000029">
      <w:pPr>
        <w:numPr>
          <w:ilvl w:val="0"/>
          <w:numId w:val="5"/>
        </w:numPr>
        <w:ind w:left="1440" w:hanging="360"/>
        <w:rPr>
          <w:b w:val="1"/>
          <w:bCs w:val="1"/>
          <w:u w:val="none"/>
        </w:rPr>
      </w:pPr>
      <w:r w:rsidDel="00000000" w:rsidR="00000000" w:rsidRPr="00000000">
        <w:rPr>
          <w:b w:val="1"/>
          <w:bCs w:val="1"/>
          <w:rtl w:val="0"/>
        </w:rPr>
        <w:t xml:space="preserve">Amend Bylaw 1.01(f) to read:</w:t>
      </w:r>
      <w:r w:rsidDel="00000000" w:rsidR="00000000" w:rsidRPr="00000000">
        <w:rPr>
          <w:rtl w:val="0"/>
        </w:rPr>
        <w:t xml:space="preserve"> “Meeting of members” includes an Annual General Meeting </w:t>
      </w:r>
      <w:r w:rsidDel="00000000" w:rsidR="00000000" w:rsidRPr="00000000">
        <w:rPr>
          <w:color w:val="ff0000"/>
          <w:u w:val="single"/>
          <w:rtl w:val="0"/>
        </w:rPr>
        <w:t xml:space="preserve">(or “AGM”)</w:t>
      </w:r>
      <w:r w:rsidDel="00000000" w:rsidR="00000000" w:rsidRPr="00000000">
        <w:rPr>
          <w:rtl w:val="0"/>
        </w:rPr>
        <w:t xml:space="preserve"> </w:t>
      </w:r>
      <w:r w:rsidDel="00000000" w:rsidR="00000000" w:rsidRPr="00000000">
        <w:rPr>
          <w:rtl w:val="0"/>
        </w:rPr>
        <w:t xml:space="preserve">of members or a Special General Meeting</w:t>
      </w:r>
      <w:r w:rsidDel="00000000" w:rsidR="00000000" w:rsidRPr="00000000">
        <w:rPr>
          <w:color w:val="ff0000"/>
          <w:rtl w:val="0"/>
        </w:rPr>
        <w:t xml:space="preserve"> </w:t>
      </w:r>
      <w:r w:rsidDel="00000000" w:rsidR="00000000" w:rsidRPr="00000000">
        <w:rPr>
          <w:color w:val="ff0000"/>
          <w:u w:val="single"/>
          <w:rtl w:val="0"/>
        </w:rPr>
        <w:t xml:space="preserve">(or “SGM”)</w:t>
      </w:r>
      <w:r w:rsidDel="00000000" w:rsidR="00000000" w:rsidRPr="00000000">
        <w:rPr>
          <w:b w:val="1"/>
          <w:bCs w:val="1"/>
          <w:rtl w:val="0"/>
        </w:rPr>
        <w:t xml:space="preserve"> </w:t>
      </w:r>
      <w:r w:rsidDel="00000000" w:rsidR="00000000" w:rsidRPr="00000000">
        <w:rPr>
          <w:rtl w:val="0"/>
        </w:rPr>
        <w:t xml:space="preserve">of members; “Special General Meeting of members” includes a meeting of any class or classes of members and a special meeting of all members entitled to vote at an Annual General Meeting of members;”</w:t>
      </w:r>
      <w:r w:rsidDel="00000000" w:rsidR="00000000" w:rsidRPr="00000000">
        <w:rPr>
          <w:rtl w:val="0"/>
        </w:rPr>
      </w:r>
    </w:p>
    <w:p w:rsidR="00000000" w:rsidDel="00000000" w:rsidP="00000000" w:rsidRDefault="00000000" w:rsidRPr="00000000" w14:paraId="0000002A">
      <w:pPr>
        <w:pStyle w:val="Heading1"/>
        <w:rPr/>
      </w:pPr>
      <w:bookmarkStart w:colFirst="0" w:colLast="0" w:name="_mq25gpnrkuef" w:id="14"/>
      <w:bookmarkEnd w:id="14"/>
      <w:r w:rsidDel="00000000" w:rsidR="00000000" w:rsidRPr="00000000">
        <w:rPr>
          <w:rtl w:val="0"/>
        </w:rPr>
        <w:t xml:space="preserve">Amendment #5: Housekeeping (Typos and Grammar)</w:t>
      </w:r>
    </w:p>
    <w:p w:rsidR="00000000" w:rsidDel="00000000" w:rsidP="00000000" w:rsidRDefault="00000000" w:rsidRPr="00000000" w14:paraId="0000002B">
      <w:pPr>
        <w:widowControl w:val="0"/>
        <w:ind w:left="720" w:hanging="2.1600341796875"/>
        <w:rPr>
          <w:b w:val="1"/>
          <w:bCs w:val="1"/>
        </w:rPr>
      </w:pPr>
      <w:r w:rsidDel="00000000" w:rsidR="00000000" w:rsidRPr="00000000">
        <w:rPr>
          <w:b w:val="1"/>
          <w:bCs w:val="1"/>
          <w:rtl w:val="0"/>
        </w:rPr>
        <w:t xml:space="preserve">THAT the Membership:</w:t>
      </w:r>
    </w:p>
    <w:p w:rsidR="00000000" w:rsidDel="00000000" w:rsidP="00000000" w:rsidRDefault="00000000" w:rsidRPr="00000000" w14:paraId="0000002C">
      <w:pPr>
        <w:widowControl w:val="0"/>
        <w:numPr>
          <w:ilvl w:val="0"/>
          <w:numId w:val="1"/>
        </w:numPr>
        <w:spacing w:after="0" w:afterAutospacing="0"/>
        <w:ind w:left="1440" w:hanging="360"/>
        <w:rPr>
          <w:b w:val="1"/>
          <w:bCs w:val="1"/>
        </w:rPr>
      </w:pPr>
      <w:r w:rsidDel="00000000" w:rsidR="00000000" w:rsidRPr="00000000">
        <w:rPr>
          <w:b w:val="1"/>
          <w:bCs w:val="1"/>
          <w:rtl w:val="0"/>
        </w:rPr>
        <w:t xml:space="preserve">Amend Bylaw 4.3 to read:</w:t>
      </w:r>
      <w:r w:rsidDel="00000000" w:rsidR="00000000" w:rsidRPr="00000000">
        <w:rPr>
          <w:rtl w:val="0"/>
        </w:rPr>
        <w:t xml:space="preserve"> “A Special General Meeting (</w:t>
      </w:r>
      <w:r w:rsidDel="00000000" w:rsidR="00000000" w:rsidRPr="00000000">
        <w:rPr>
          <w:strike w:val="1"/>
          <w:color w:val="ff0000"/>
          <w:rtl w:val="0"/>
        </w:rPr>
        <w:t xml:space="preserve">SPG</w:t>
      </w:r>
      <w:r w:rsidDel="00000000" w:rsidR="00000000" w:rsidRPr="00000000">
        <w:rPr>
          <w:color w:val="ff0000"/>
          <w:u w:val="single"/>
          <w:rtl w:val="0"/>
        </w:rPr>
        <w:t xml:space="preserve">SGM</w:t>
      </w:r>
      <w:r w:rsidDel="00000000" w:rsidR="00000000" w:rsidRPr="00000000">
        <w:rPr>
          <w:rtl w:val="0"/>
        </w:rPr>
        <w:t xml:space="preserve">) shall be called by the Board of Directors as deemed necessary or if requested to do so by five per cent of the members eligible to vote. Attendance at a Special General Meeting can take place either partially or entirely by electronic means, provided participants can communicate adequately with each other.”</w:t>
      </w:r>
    </w:p>
    <w:p w:rsidR="00000000" w:rsidDel="00000000" w:rsidP="00000000" w:rsidRDefault="00000000" w:rsidRPr="00000000" w14:paraId="0000002D">
      <w:pPr>
        <w:widowControl w:val="0"/>
        <w:numPr>
          <w:ilvl w:val="0"/>
          <w:numId w:val="1"/>
        </w:numPr>
        <w:ind w:left="1440" w:hanging="360"/>
        <w:rPr>
          <w:b w:val="1"/>
          <w:bCs w:val="1"/>
        </w:rPr>
      </w:pPr>
      <w:r w:rsidDel="00000000" w:rsidR="00000000" w:rsidRPr="00000000">
        <w:rPr>
          <w:b w:val="1"/>
          <w:bCs w:val="1"/>
          <w:rtl w:val="0"/>
        </w:rPr>
        <w:t xml:space="preserve">Amend Bylaw 8.3 to read:</w:t>
      </w:r>
      <w:r w:rsidDel="00000000" w:rsidR="00000000" w:rsidRPr="00000000">
        <w:rPr>
          <w:rtl w:val="0"/>
        </w:rPr>
        <w:t xml:space="preserve"> “The Corporation will be entitled to any financial surplus resulting from each National Professional Conference, even if the surplus is in excess of policy requirement. The Corporation shall be financially responsible for any deficit resulting from each National Professional Conference based on a budget approved by </w:t>
      </w:r>
      <w:r w:rsidDel="00000000" w:rsidR="00000000" w:rsidRPr="00000000">
        <w:rPr>
          <w:color w:val="ff0000"/>
          <w:u w:val="single"/>
          <w:rtl w:val="0"/>
        </w:rPr>
        <w:t xml:space="preserve">the</w:t>
      </w:r>
      <w:r w:rsidDel="00000000" w:rsidR="00000000" w:rsidRPr="00000000">
        <w:rPr>
          <w:color w:val="ff0000"/>
          <w:rtl w:val="0"/>
        </w:rPr>
        <w:t xml:space="preserve"> </w:t>
      </w:r>
      <w:r w:rsidDel="00000000" w:rsidR="00000000" w:rsidRPr="00000000">
        <w:rPr>
          <w:rtl w:val="0"/>
        </w:rPr>
        <w:t xml:space="preserve">Board.”</w:t>
      </w:r>
      <w:r w:rsidDel="00000000" w:rsidR="00000000" w:rsidRPr="00000000">
        <w:rPr>
          <w:rtl w:val="0"/>
        </w:rPr>
      </w:r>
    </w:p>
    <w:sectPr>
      <w:headerReference r:id="rId6" w:type="default"/>
      <w:footerReference r:id="rId7" w:type="default"/>
      <w:pgSz w:h="15840" w:w="12240" w:orient="portrait"/>
      <w:pgMar w:bottom="782.8800201416016" w:top="720" w:left="1802.1600341796875" w:right="1764.801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spacing w:line="240" w:lineRule="auto"/>
      <w:jc w:val="center"/>
      <w:rPr/>
    </w:pPr>
    <w:r w:rsidDel="00000000" w:rsidR="00000000" w:rsidRPr="00000000">
      <w:rPr/>
      <w:pict>
        <v:shape id="PowerPlusWaterMarkObject1" style="position:absolute;width:450.92691939668106pt;height:162.3495454306011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drawing>
        <wp:inline distB="19050" distT="19050" distL="19050" distR="19050">
          <wp:extent cx="961390" cy="9613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1390" cy="96139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widowControl w:val="0"/>
      <w:spacing w:line="240" w:lineRule="auto"/>
      <w:jc w:val="center"/>
      <w:rPr>
        <w:color w:val="222222"/>
        <w:highlight w:val="white"/>
      </w:rPr>
    </w:pPr>
    <w:r w:rsidDel="00000000" w:rsidR="00000000" w:rsidRPr="00000000">
      <w:rPr>
        <w:rFonts w:ascii="Calibri" w:cs="Calibri" w:eastAsia="Calibri" w:hAnsi="Calibri"/>
        <w:color w:val="222222"/>
        <w:sz w:val="24"/>
        <w:szCs w:val="24"/>
        <w:highlight w:val="white"/>
        <w:rtl w:val="0"/>
      </w:rPr>
      <w:t xml:space="preserve">Association of Managers in Canadian College,</w:t>
    </w:r>
    <w:r w:rsidDel="00000000" w:rsidR="00000000" w:rsidRPr="00000000">
      <w:rPr>
        <w:color w:val="222222"/>
        <w:rtl w:val="0"/>
      </w:rPr>
      <w:br w:type="textWrapping"/>
    </w:r>
    <w:r w:rsidDel="00000000" w:rsidR="00000000" w:rsidRPr="00000000">
      <w:rPr>
        <w:rFonts w:ascii="Calibri" w:cs="Calibri" w:eastAsia="Calibri" w:hAnsi="Calibri"/>
        <w:color w:val="222222"/>
        <w:sz w:val="24"/>
        <w:szCs w:val="24"/>
        <w:highlight w:val="white"/>
        <w:rtl w:val="0"/>
      </w:rPr>
      <w:t xml:space="preserve">University and Student Centres AMICCUS-C</w:t>
    </w:r>
    <w:r w:rsidDel="00000000" w:rsidR="00000000" w:rsidRPr="00000000">
      <w:rPr>
        <w:rtl w:val="0"/>
      </w:rPr>
    </w:r>
  </w:p>
  <w:p w:rsidR="00000000" w:rsidDel="00000000" w:rsidP="00000000" w:rsidRDefault="00000000" w:rsidRPr="00000000" w14:paraId="00000030">
    <w:pPr>
      <w:widowControl w:val="0"/>
      <w:spacing w:after="480" w:line="240" w:lineRule="auto"/>
      <w:ind w:right="0" w:firstLine="0"/>
      <w:jc w:val="center"/>
      <w:rPr>
        <w:color w:val="222222"/>
        <w:highlight w:val="white"/>
      </w:rPr>
    </w:pPr>
    <w:r w:rsidDel="00000000" w:rsidR="00000000" w:rsidRPr="00000000">
      <w:rPr>
        <w:b w:val="1"/>
        <w:bCs w:val="1"/>
        <w:rtl w:val="0"/>
      </w:rPr>
      <w:t xml:space="preserve">MEMORANDUM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6"/>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after="120" w:line="244.8" w:lineRule="auto"/>
        <w:ind w:right="150.55908203125" w:hanging="2.16003417968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692.8399658203127"/>
      </w:tabs>
      <w:spacing w:after="200" w:before="200" w:lineRule="auto"/>
    </w:pPr>
    <w:rPr>
      <w:b w:val="1"/>
      <w:bCs w:val="1"/>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